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B0796" w14:textId="5AF10B78" w:rsidR="00F1739F" w:rsidRPr="00F1739F" w:rsidRDefault="00F1739F" w:rsidP="00F1739F">
      <w:pPr>
        <w:tabs>
          <w:tab w:val="right" w:pos="20000"/>
        </w:tabs>
        <w:spacing w:after="0"/>
        <w:rPr>
          <w:rFonts w:ascii="Arial" w:eastAsia="MS Mincho" w:hAnsi="Arial" w:cs="Arial"/>
          <w:b/>
          <w:noProof/>
          <w:sz w:val="24"/>
          <w:szCs w:val="24"/>
        </w:rPr>
      </w:pPr>
      <w:bookmarkStart w:id="0" w:name="OLE_LINK15"/>
      <w:bookmarkStart w:id="1" w:name="_Hlk84666062"/>
      <w:r w:rsidRPr="00F1739F">
        <w:rPr>
          <w:rFonts w:ascii="Arial" w:eastAsia="MS Mincho" w:hAnsi="Arial"/>
          <w:b/>
          <w:noProof/>
          <w:sz w:val="24"/>
        </w:rPr>
        <w:t>3GPP TSG-</w:t>
      </w:r>
      <w:r w:rsidRPr="00F1739F">
        <w:rPr>
          <w:rFonts w:ascii="Arial" w:eastAsia="MS Mincho" w:hAnsi="Arial"/>
          <w:b/>
          <w:noProof/>
          <w:sz w:val="24"/>
          <w:lang w:eastAsia="zh-CN"/>
        </w:rPr>
        <w:t>RAN WG4</w:t>
      </w:r>
      <w:r w:rsidRPr="00F1739F">
        <w:rPr>
          <w:rFonts w:ascii="Arial" w:eastAsia="MS Mincho" w:hAnsi="Arial"/>
          <w:b/>
          <w:noProof/>
          <w:sz w:val="24"/>
        </w:rPr>
        <w:t xml:space="preserve"> Meetin</w:t>
      </w:r>
      <w:r w:rsidRPr="00F1739F">
        <w:rPr>
          <w:rFonts w:ascii="Arial" w:eastAsia="MS Mincho" w:hAnsi="Arial"/>
          <w:b/>
          <w:noProof/>
          <w:sz w:val="24"/>
          <w:lang w:eastAsia="zh-CN"/>
        </w:rPr>
        <w:t>g #10</w:t>
      </w:r>
      <w:r w:rsidR="009715AC">
        <w:rPr>
          <w:rFonts w:ascii="Arial" w:eastAsia="MS Mincho" w:hAnsi="Arial"/>
          <w:b/>
          <w:noProof/>
          <w:sz w:val="24"/>
          <w:lang w:eastAsia="zh-CN"/>
        </w:rPr>
        <w:t>8</w:t>
      </w:r>
      <w:r w:rsidRPr="00F1739F">
        <w:rPr>
          <w:rFonts w:ascii="Arial" w:eastAsia="MS Mincho" w:hAnsi="Arial" w:cs="Arial"/>
          <w:b/>
          <w:noProof/>
          <w:sz w:val="24"/>
          <w:szCs w:val="24"/>
        </w:rPr>
        <w:tab/>
      </w:r>
      <w:r w:rsidR="00254DF7" w:rsidRPr="00254DF7">
        <w:rPr>
          <w:rFonts w:ascii="Arial" w:hAnsi="Arial" w:cs="Arial"/>
          <w:b/>
          <w:noProof/>
          <w:sz w:val="24"/>
          <w:szCs w:val="24"/>
          <w:lang w:eastAsia="zh-CN"/>
        </w:rPr>
        <w:t>R4-23</w:t>
      </w:r>
      <w:r w:rsidR="00381B5E">
        <w:rPr>
          <w:rFonts w:ascii="Arial" w:hAnsi="Arial" w:cs="Arial"/>
          <w:b/>
          <w:noProof/>
          <w:sz w:val="24"/>
          <w:szCs w:val="24"/>
          <w:lang w:eastAsia="zh-CN"/>
        </w:rPr>
        <w:t>13646</w:t>
      </w:r>
    </w:p>
    <w:bookmarkEnd w:id="0"/>
    <w:p w14:paraId="12FEFBF5" w14:textId="1F6E3C6B" w:rsidR="00F1739F" w:rsidRPr="00F1739F" w:rsidRDefault="009715AC" w:rsidP="00F1739F">
      <w:pPr>
        <w:spacing w:after="120"/>
        <w:outlineLvl w:val="0"/>
        <w:rPr>
          <w:rFonts w:ascii="Arial" w:eastAsia="MS Mincho" w:hAnsi="Arial"/>
          <w:b/>
          <w:noProof/>
          <w:sz w:val="24"/>
        </w:rPr>
      </w:pPr>
      <w:r>
        <w:rPr>
          <w:rFonts w:ascii="Arial" w:eastAsia="MS Mincho" w:hAnsi="Arial"/>
          <w:b/>
          <w:noProof/>
          <w:sz w:val="24"/>
        </w:rPr>
        <w:t>Toulouse</w:t>
      </w:r>
      <w:r w:rsidR="00F1739F" w:rsidRPr="00F1739F">
        <w:rPr>
          <w:rFonts w:ascii="Arial" w:eastAsia="MS Mincho" w:hAnsi="Arial"/>
          <w:b/>
          <w:noProof/>
          <w:sz w:val="24"/>
        </w:rPr>
        <w:t>, 2</w:t>
      </w:r>
      <w:r>
        <w:rPr>
          <w:rFonts w:ascii="Arial" w:eastAsia="MS Mincho" w:hAnsi="Arial"/>
          <w:b/>
          <w:noProof/>
          <w:sz w:val="24"/>
        </w:rPr>
        <w:t>1</w:t>
      </w:r>
      <w:r>
        <w:rPr>
          <w:rFonts w:ascii="Arial" w:eastAsia="MS Mincho" w:hAnsi="Arial"/>
          <w:b/>
          <w:noProof/>
          <w:sz w:val="24"/>
          <w:vertAlign w:val="superscript"/>
        </w:rPr>
        <w:t>st</w:t>
      </w:r>
      <w:r w:rsidR="00F1739F" w:rsidRPr="00F1739F">
        <w:rPr>
          <w:rFonts w:ascii="Arial" w:eastAsia="MS Mincho" w:hAnsi="Arial"/>
          <w:b/>
          <w:noProof/>
          <w:sz w:val="24"/>
        </w:rPr>
        <w:t xml:space="preserve"> - 2</w:t>
      </w:r>
      <w:r>
        <w:rPr>
          <w:rFonts w:ascii="Arial" w:eastAsia="MS Mincho" w:hAnsi="Arial"/>
          <w:b/>
          <w:noProof/>
          <w:sz w:val="24"/>
        </w:rPr>
        <w:t>5</w:t>
      </w:r>
      <w:r w:rsidR="00F1739F" w:rsidRPr="00F1739F">
        <w:rPr>
          <w:rFonts w:ascii="Arial" w:eastAsia="MS Mincho" w:hAnsi="Arial"/>
          <w:b/>
          <w:noProof/>
          <w:sz w:val="24"/>
          <w:vertAlign w:val="superscript"/>
        </w:rPr>
        <w:t>th</w:t>
      </w:r>
      <w:r w:rsidR="00F1739F" w:rsidRPr="00F1739F">
        <w:rPr>
          <w:rFonts w:ascii="Arial" w:eastAsia="MS Mincho" w:hAnsi="Arial"/>
          <w:b/>
          <w:noProof/>
          <w:sz w:val="24"/>
        </w:rPr>
        <w:t xml:space="preserve"> </w:t>
      </w:r>
      <w:r>
        <w:rPr>
          <w:rFonts w:ascii="Arial" w:eastAsia="MS Mincho" w:hAnsi="Arial"/>
          <w:b/>
          <w:noProof/>
          <w:sz w:val="24"/>
        </w:rPr>
        <w:t>Aug</w:t>
      </w:r>
      <w:r w:rsidR="00F1739F" w:rsidRPr="00F1739F">
        <w:rPr>
          <w:rFonts w:ascii="Arial" w:eastAsia="MS Mincho" w:hAnsi="Arial"/>
          <w:b/>
          <w:noProof/>
          <w:sz w:val="24"/>
        </w:rPr>
        <w:t>, 2023</w:t>
      </w:r>
    </w:p>
    <w:bookmarkEnd w:id="1"/>
    <w:p w14:paraId="0985FDF3" w14:textId="7E55CDA7" w:rsidR="00D46BD4" w:rsidRPr="006B573C" w:rsidRDefault="00D46BD4" w:rsidP="00D46BD4">
      <w:pPr>
        <w:pStyle w:val="af"/>
        <w:jc w:val="both"/>
        <w:rPr>
          <w:rFonts w:eastAsia="宋体"/>
          <w:i w:val="0"/>
          <w:noProof w:val="0"/>
          <w:sz w:val="24"/>
        </w:rPr>
      </w:pPr>
    </w:p>
    <w:p w14:paraId="746C058D" w14:textId="2E53473E"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646DA1" w:rsidRPr="00646DA1">
        <w:rPr>
          <w:rFonts w:ascii="Arial" w:hAnsi="Arial"/>
          <w:sz w:val="24"/>
          <w:lang w:val="en-US" w:eastAsia="zh-CN"/>
        </w:rPr>
        <w:t>Discussion on general aspects for NR ATG demodulation requirements</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254A2530"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381B5E">
        <w:rPr>
          <w:rFonts w:ascii="Arial" w:hAnsi="Arial"/>
          <w:sz w:val="24"/>
          <w:lang w:val="pt-BR"/>
        </w:rPr>
        <w:t>8.13.5.1</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4BEC72BE" w:rsidR="00DA5EE2" w:rsidRPr="004B565E" w:rsidRDefault="00DA5EE2" w:rsidP="00DA5EE2">
      <w:pPr>
        <w:rPr>
          <w:lang w:val="en-US" w:eastAsia="zh-CN"/>
        </w:rPr>
      </w:pPr>
      <w:r>
        <w:rPr>
          <w:lang w:eastAsia="zh-CN"/>
        </w:rPr>
        <w:t>During RAN</w:t>
      </w:r>
      <w:r w:rsidR="00661D17">
        <w:rPr>
          <w:lang w:eastAsia="zh-CN"/>
        </w:rPr>
        <w:t>4</w:t>
      </w:r>
      <w:r>
        <w:rPr>
          <w:lang w:eastAsia="zh-CN"/>
        </w:rPr>
        <w:t>#</w:t>
      </w:r>
      <w:r w:rsidR="00661D17">
        <w:rPr>
          <w:lang w:eastAsia="zh-CN"/>
        </w:rPr>
        <w:t>10</w:t>
      </w:r>
      <w:r w:rsidR="00692502">
        <w:rPr>
          <w:lang w:eastAsia="zh-CN"/>
        </w:rPr>
        <w:t>7</w:t>
      </w:r>
      <w:r>
        <w:rPr>
          <w:lang w:eastAsia="zh-CN"/>
        </w:rPr>
        <w:t xml:space="preserve"> meeting, </w:t>
      </w:r>
      <w:r w:rsidR="00661D17">
        <w:rPr>
          <w:lang w:eastAsia="zh-CN"/>
        </w:rPr>
        <w:t>WF</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00661D17"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00646DA1" w:rsidRPr="00646DA1">
        <w:rPr>
          <w:lang w:val="en-US" w:eastAsia="zh-CN"/>
        </w:rPr>
        <w:t xml:space="preserve">general aspects for </w:t>
      </w:r>
      <w:r w:rsidR="00646DA1">
        <w:rPr>
          <w:lang w:val="en-US" w:eastAsia="zh-CN"/>
        </w:rPr>
        <w:t>NR ATG</w:t>
      </w:r>
      <w:r w:rsidRPr="00964D21">
        <w:rPr>
          <w:lang w:val="en-US" w:eastAsia="zh-CN"/>
        </w:rPr>
        <w:t xml:space="preserve"> demodulation requirements</w:t>
      </w:r>
      <w:r w:rsidRPr="004B565E">
        <w:rPr>
          <w:lang w:val="en-US" w:eastAsia="zh-CN"/>
        </w:rPr>
        <w:t>.</w:t>
      </w:r>
    </w:p>
    <w:p w14:paraId="4B381C34" w14:textId="4A69251F" w:rsidR="00EA7C2F" w:rsidRDefault="00EA7C2F" w:rsidP="00D46BD4">
      <w:pPr>
        <w:pStyle w:val="1"/>
        <w:rPr>
          <w:lang w:val="en-US" w:eastAsia="zh-CN"/>
        </w:rPr>
      </w:pPr>
      <w:r>
        <w:rPr>
          <w:rFonts w:hint="eastAsia"/>
          <w:lang w:val="en-US" w:eastAsia="zh-CN"/>
        </w:rPr>
        <w:t>D</w:t>
      </w:r>
      <w:r>
        <w:rPr>
          <w:lang w:val="en-US" w:eastAsia="zh-CN"/>
        </w:rPr>
        <w:t>iscussion</w:t>
      </w:r>
    </w:p>
    <w:p w14:paraId="0485ABFC" w14:textId="3A67CC72" w:rsidR="00661D17" w:rsidRDefault="009715AC" w:rsidP="00661D17">
      <w:pPr>
        <w:pStyle w:val="2"/>
        <w:rPr>
          <w:lang w:val="en-US" w:eastAsia="zh-CN"/>
        </w:rPr>
      </w:pPr>
      <w:r w:rsidRPr="009715AC">
        <w:rPr>
          <w:lang w:val="en-US" w:eastAsia="zh-CN"/>
        </w:rPr>
        <w:t>TDD pattern</w:t>
      </w:r>
    </w:p>
    <w:tbl>
      <w:tblPr>
        <w:tblStyle w:val="af4"/>
        <w:tblW w:w="0" w:type="auto"/>
        <w:tblLook w:val="04A0" w:firstRow="1" w:lastRow="0" w:firstColumn="1" w:lastColumn="0" w:noHBand="0" w:noVBand="1"/>
      </w:tblPr>
      <w:tblGrid>
        <w:gridCol w:w="10456"/>
      </w:tblGrid>
      <w:tr w:rsidR="00661D17" w:rsidRPr="009715AC" w14:paraId="41A8BD1E" w14:textId="77777777" w:rsidTr="00661D17">
        <w:tc>
          <w:tcPr>
            <w:tcW w:w="10456" w:type="dxa"/>
          </w:tcPr>
          <w:p w14:paraId="58D3838D" w14:textId="77777777" w:rsidR="009715AC" w:rsidRPr="009715AC" w:rsidRDefault="009715AC" w:rsidP="009715AC">
            <w:pPr>
              <w:rPr>
                <w:rFonts w:eastAsiaTheme="minorEastAsia"/>
                <w:b/>
                <w:i/>
              </w:rPr>
            </w:pPr>
            <w:r w:rsidRPr="009715AC">
              <w:rPr>
                <w:rFonts w:eastAsiaTheme="minorEastAsia" w:hint="eastAsia"/>
                <w:b/>
                <w:i/>
              </w:rPr>
              <w:t>Agreement:</w:t>
            </w:r>
          </w:p>
          <w:p w14:paraId="456AAD09" w14:textId="77777777" w:rsidR="009715AC" w:rsidRPr="009715AC" w:rsidRDefault="009715AC" w:rsidP="009715AC">
            <w:pPr>
              <w:numPr>
                <w:ilvl w:val="0"/>
                <w:numId w:val="5"/>
              </w:numPr>
              <w:spacing w:after="120"/>
              <w:rPr>
                <w:i/>
              </w:rPr>
            </w:pPr>
            <w:r w:rsidRPr="009715AC">
              <w:rPr>
                <w:i/>
              </w:rPr>
              <w:t>New TDD pattern together with the features ‘Increasing the number of HARQ processes’ and ‘K1 range extension’ can be considered as one of possible solution to mitigate the guard period impact for Rel-18 ATG scenario.</w:t>
            </w:r>
          </w:p>
          <w:p w14:paraId="287D12EE" w14:textId="77777777" w:rsidR="009715AC" w:rsidRPr="009715AC" w:rsidRDefault="009715AC" w:rsidP="009715AC">
            <w:pPr>
              <w:numPr>
                <w:ilvl w:val="0"/>
                <w:numId w:val="5"/>
              </w:numPr>
              <w:spacing w:after="120"/>
              <w:rPr>
                <w:i/>
              </w:rPr>
            </w:pPr>
            <w:r w:rsidRPr="009715AC">
              <w:rPr>
                <w:i/>
              </w:rPr>
              <w:t>Other solutions not precluded including the UE specific TA reporting as adopted in RRM</w:t>
            </w:r>
          </w:p>
          <w:p w14:paraId="614BF413" w14:textId="77777777" w:rsidR="009715AC" w:rsidRPr="009715AC" w:rsidRDefault="009715AC" w:rsidP="009715AC">
            <w:pPr>
              <w:numPr>
                <w:ilvl w:val="0"/>
                <w:numId w:val="5"/>
              </w:numPr>
              <w:spacing w:after="120"/>
              <w:rPr>
                <w:i/>
              </w:rPr>
            </w:pPr>
            <w:r w:rsidRPr="009715AC">
              <w:rPr>
                <w:i/>
              </w:rPr>
              <w:t xml:space="preserve">For UE demodulation: </w:t>
            </w:r>
          </w:p>
          <w:p w14:paraId="39DF5EE9" w14:textId="77777777" w:rsidR="009715AC" w:rsidRPr="009715AC" w:rsidRDefault="009715AC" w:rsidP="009715AC">
            <w:pPr>
              <w:numPr>
                <w:ilvl w:val="1"/>
                <w:numId w:val="5"/>
              </w:numPr>
              <w:spacing w:after="120"/>
              <w:rPr>
                <w:i/>
              </w:rPr>
            </w:pPr>
            <w:r w:rsidRPr="009715AC">
              <w:rPr>
                <w:i/>
              </w:rPr>
              <w:t>New UE demodulation requirement can be specified for the static TDD pattern (if introduced)</w:t>
            </w:r>
          </w:p>
          <w:p w14:paraId="4948DA99" w14:textId="77777777" w:rsidR="009715AC" w:rsidRPr="009715AC" w:rsidRDefault="009715AC" w:rsidP="009715AC">
            <w:pPr>
              <w:numPr>
                <w:ilvl w:val="2"/>
                <w:numId w:val="5"/>
              </w:numPr>
              <w:spacing w:after="120"/>
              <w:rPr>
                <w:i/>
              </w:rPr>
            </w:pPr>
            <w:r w:rsidRPr="009715AC">
              <w:rPr>
                <w:i/>
              </w:rPr>
              <w:t>FFS on exact test case(s) which may be configured with new TDD pattern.</w:t>
            </w:r>
          </w:p>
          <w:p w14:paraId="0AF70424" w14:textId="77777777" w:rsidR="009715AC" w:rsidRPr="009715AC" w:rsidRDefault="009715AC" w:rsidP="009715AC">
            <w:pPr>
              <w:numPr>
                <w:ilvl w:val="2"/>
                <w:numId w:val="5"/>
              </w:numPr>
              <w:spacing w:after="120"/>
              <w:rPr>
                <w:i/>
              </w:rPr>
            </w:pPr>
            <w:r w:rsidRPr="009715AC">
              <w:rPr>
                <w:i/>
              </w:rPr>
              <w:t>FFS on test applicability rules.</w:t>
            </w:r>
          </w:p>
          <w:p w14:paraId="4166836A" w14:textId="77777777" w:rsidR="009715AC" w:rsidRPr="009715AC" w:rsidRDefault="009715AC" w:rsidP="009715AC">
            <w:pPr>
              <w:numPr>
                <w:ilvl w:val="1"/>
                <w:numId w:val="5"/>
              </w:numPr>
              <w:spacing w:after="120"/>
              <w:rPr>
                <w:i/>
              </w:rPr>
            </w:pPr>
            <w:r w:rsidRPr="009715AC">
              <w:rPr>
                <w:i/>
              </w:rPr>
              <w:t>FFS on the impact of UE demodulation for all candidate options</w:t>
            </w:r>
          </w:p>
          <w:p w14:paraId="092DEB4E" w14:textId="22D9BED8" w:rsidR="00661D17" w:rsidRPr="009715AC" w:rsidRDefault="009715AC" w:rsidP="009715AC">
            <w:pPr>
              <w:numPr>
                <w:ilvl w:val="0"/>
                <w:numId w:val="5"/>
              </w:numPr>
              <w:spacing w:after="120"/>
              <w:rPr>
                <w:i/>
              </w:rPr>
            </w:pPr>
            <w:r w:rsidRPr="009715AC">
              <w:rPr>
                <w:i/>
              </w:rPr>
              <w:t xml:space="preserve">For BS demodulation: Further discuss test applicability rules and impact with new TDD pattern. </w:t>
            </w:r>
          </w:p>
        </w:tc>
      </w:tr>
    </w:tbl>
    <w:p w14:paraId="30D88394" w14:textId="034357D4" w:rsidR="00661D17" w:rsidRDefault="00661D17" w:rsidP="00661D17">
      <w:pPr>
        <w:rPr>
          <w:lang w:val="en-US" w:eastAsia="zh-CN"/>
        </w:rPr>
      </w:pPr>
    </w:p>
    <w:p w14:paraId="498D2433" w14:textId="228158F6" w:rsidR="00E74A53" w:rsidRDefault="00E74A53" w:rsidP="00661D17">
      <w:pPr>
        <w:rPr>
          <w:lang w:val="en-US" w:eastAsia="zh-CN"/>
        </w:rPr>
      </w:pPr>
      <w:r w:rsidRPr="00E74A53">
        <w:rPr>
          <w:lang w:val="en-US" w:eastAsia="zh-CN"/>
        </w:rPr>
        <w:t>In last meeting, the LS about the</w:t>
      </w:r>
      <w:r w:rsidR="00C723D2">
        <w:rPr>
          <w:lang w:val="en-US" w:eastAsia="zh-CN"/>
        </w:rPr>
        <w:t xml:space="preserve"> “</w:t>
      </w:r>
      <w:r w:rsidR="00C723D2" w:rsidRPr="00C723D2">
        <w:rPr>
          <w:lang w:val="en-US" w:eastAsia="zh-CN"/>
        </w:rPr>
        <w:t>Increasing the number of HARQ processes</w:t>
      </w:r>
      <w:r w:rsidR="00C723D2">
        <w:rPr>
          <w:lang w:val="en-US" w:eastAsia="zh-CN"/>
        </w:rPr>
        <w:t>”</w:t>
      </w:r>
      <w:r w:rsidR="00C723D2" w:rsidRPr="00C723D2">
        <w:rPr>
          <w:lang w:val="en-US" w:eastAsia="zh-CN"/>
        </w:rPr>
        <w:t xml:space="preserve"> and </w:t>
      </w:r>
      <w:r w:rsidR="00C723D2">
        <w:rPr>
          <w:lang w:val="en-US" w:eastAsia="zh-CN"/>
        </w:rPr>
        <w:t>“</w:t>
      </w:r>
      <w:r w:rsidR="00C723D2" w:rsidRPr="00C723D2">
        <w:rPr>
          <w:lang w:val="en-US" w:eastAsia="zh-CN"/>
        </w:rPr>
        <w:t>K1 range extension</w:t>
      </w:r>
      <w:r w:rsidR="00C723D2">
        <w:rPr>
          <w:lang w:val="en-US" w:eastAsia="zh-CN"/>
        </w:rPr>
        <w:t>”</w:t>
      </w:r>
      <w:r w:rsidRPr="00E74A53">
        <w:rPr>
          <w:lang w:val="en-US" w:eastAsia="zh-CN"/>
        </w:rPr>
        <w:t xml:space="preserve"> issue in ATG scenario is sent to RAN1 and the expected time RAN1 response to this LS is in the next meeting.</w:t>
      </w:r>
      <w:r>
        <w:rPr>
          <w:lang w:val="en-US" w:eastAsia="zh-CN"/>
        </w:rPr>
        <w:t xml:space="preserve"> So we prefer to wait RAN1 </w:t>
      </w:r>
      <w:r w:rsidRPr="00E74A53">
        <w:rPr>
          <w:lang w:val="en-US" w:eastAsia="zh-CN"/>
        </w:rPr>
        <w:t>response</w:t>
      </w:r>
      <w:r>
        <w:rPr>
          <w:lang w:val="en-US" w:eastAsia="zh-CN"/>
        </w:rPr>
        <w:t xml:space="preserve"> to </w:t>
      </w:r>
      <w:r w:rsidR="00406055">
        <w:rPr>
          <w:lang w:val="en-US" w:eastAsia="zh-CN"/>
        </w:rPr>
        <w:t>the</w:t>
      </w:r>
      <w:r>
        <w:rPr>
          <w:lang w:val="en-US" w:eastAsia="zh-CN"/>
        </w:rPr>
        <w:t xml:space="preserve"> LS and then discuss how to define the cases with </w:t>
      </w:r>
      <w:r w:rsidR="00C723D2">
        <w:rPr>
          <w:lang w:val="en-US" w:eastAsia="zh-CN"/>
        </w:rPr>
        <w:t xml:space="preserve">the </w:t>
      </w:r>
      <w:r w:rsidRPr="00E74A53">
        <w:rPr>
          <w:lang w:val="en-US" w:eastAsia="zh-CN"/>
        </w:rPr>
        <w:t>new TDD pattern</w:t>
      </w:r>
      <w:r>
        <w:rPr>
          <w:lang w:val="en-US" w:eastAsia="zh-CN"/>
        </w:rPr>
        <w:t>.</w:t>
      </w:r>
      <w:r w:rsidR="00C723D2">
        <w:rPr>
          <w:lang w:val="en-US" w:eastAsia="zh-CN"/>
        </w:rPr>
        <w:t xml:space="preserve"> If RAN1 response that “</w:t>
      </w:r>
      <w:r w:rsidR="00C723D2" w:rsidRPr="00C723D2">
        <w:rPr>
          <w:lang w:val="en-US" w:eastAsia="zh-CN"/>
        </w:rPr>
        <w:t>Increasing the number of HARQ processes</w:t>
      </w:r>
      <w:r w:rsidR="00C723D2">
        <w:rPr>
          <w:lang w:val="en-US" w:eastAsia="zh-CN"/>
        </w:rPr>
        <w:t>”</w:t>
      </w:r>
      <w:r w:rsidR="00C723D2" w:rsidRPr="00C723D2">
        <w:rPr>
          <w:lang w:val="en-US" w:eastAsia="zh-CN"/>
        </w:rPr>
        <w:t xml:space="preserve"> and </w:t>
      </w:r>
      <w:r w:rsidR="00C723D2">
        <w:rPr>
          <w:lang w:val="en-US" w:eastAsia="zh-CN"/>
        </w:rPr>
        <w:t>“</w:t>
      </w:r>
      <w:r w:rsidR="00C723D2" w:rsidRPr="00C723D2">
        <w:rPr>
          <w:lang w:val="en-US" w:eastAsia="zh-CN"/>
        </w:rPr>
        <w:t>K1 range extension</w:t>
      </w:r>
      <w:r w:rsidR="00C723D2">
        <w:rPr>
          <w:lang w:val="en-US" w:eastAsia="zh-CN"/>
        </w:rPr>
        <w:t>”</w:t>
      </w:r>
      <w:r w:rsidR="00C723D2" w:rsidRPr="00E74A53">
        <w:rPr>
          <w:lang w:val="en-US" w:eastAsia="zh-CN"/>
        </w:rPr>
        <w:t xml:space="preserve"> issue</w:t>
      </w:r>
      <w:r w:rsidR="00C723D2">
        <w:rPr>
          <w:lang w:val="en-US" w:eastAsia="zh-CN"/>
        </w:rPr>
        <w:t xml:space="preserve"> can be solved by existing NTN solution, then we are OK to define corresponding demodulation requirements with the </w:t>
      </w:r>
      <w:r w:rsidR="00C723D2" w:rsidRPr="00C723D2">
        <w:rPr>
          <w:lang w:val="en-US" w:eastAsia="zh-CN"/>
        </w:rPr>
        <w:t>new TDD pattern</w:t>
      </w:r>
      <w:r w:rsidR="00C25905">
        <w:rPr>
          <w:lang w:val="en-US" w:eastAsia="zh-CN"/>
        </w:rPr>
        <w:t xml:space="preserve"> and </w:t>
      </w:r>
      <w:r w:rsidR="00C723D2" w:rsidRPr="00C723D2">
        <w:rPr>
          <w:lang w:val="en-US" w:eastAsia="zh-CN"/>
        </w:rPr>
        <w:t>note should be added in the specification that this pattern is for ATG scenario only.</w:t>
      </w:r>
    </w:p>
    <w:p w14:paraId="4E0B2DC9" w14:textId="2D1C3B45" w:rsidR="00E74A53" w:rsidRDefault="00E74A53" w:rsidP="00E74A53">
      <w:pPr>
        <w:pStyle w:val="Proposal"/>
      </w:pPr>
      <w:r>
        <w:t>W</w:t>
      </w:r>
      <w:r w:rsidRPr="00E74A53">
        <w:t xml:space="preserve">ait RAN1 response to </w:t>
      </w:r>
      <w:r>
        <w:t>the</w:t>
      </w:r>
      <w:r w:rsidRPr="00E74A53">
        <w:t xml:space="preserve"> LS and then discuss how to define the cases with </w:t>
      </w:r>
      <w:r w:rsidR="00C723D2">
        <w:t xml:space="preserve">the </w:t>
      </w:r>
      <w:r w:rsidRPr="00E74A53">
        <w:t>new TDD pattern.</w:t>
      </w:r>
    </w:p>
    <w:p w14:paraId="51F350E9" w14:textId="16C8D4C0" w:rsidR="00C723D2" w:rsidRDefault="00C25905" w:rsidP="00C723D2">
      <w:pPr>
        <w:pStyle w:val="Proposal"/>
      </w:pPr>
      <w:r w:rsidRPr="00C25905">
        <w:t>If RAN1 response that “Increasing the number of HARQ processes” and “K1 range extension” issue can be solved by existing NTN solution, define corresponding demodulation requirements with the new TDD pattern and note should be added in the specification that this pattern is for ATG scenario only.</w:t>
      </w:r>
    </w:p>
    <w:p w14:paraId="06EF3418" w14:textId="2E248CBE" w:rsidR="00D46BD4" w:rsidRPr="006551CC" w:rsidRDefault="00D46BD4" w:rsidP="00D46BD4">
      <w:pPr>
        <w:pStyle w:val="1"/>
        <w:rPr>
          <w:lang w:val="en-US" w:eastAsia="zh-CN"/>
        </w:rPr>
      </w:pPr>
      <w:r w:rsidRPr="006551CC">
        <w:rPr>
          <w:rFonts w:hint="eastAsia"/>
          <w:lang w:val="en-US" w:eastAsia="zh-CN"/>
        </w:rPr>
        <w:lastRenderedPageBreak/>
        <w:t>P</w:t>
      </w:r>
      <w:r w:rsidRPr="006551CC">
        <w:rPr>
          <w:lang w:val="en-US" w:eastAsia="zh-CN"/>
        </w:rPr>
        <w:t>roposals</w:t>
      </w:r>
    </w:p>
    <w:p w14:paraId="21AE391D" w14:textId="45A5A680"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 xml:space="preserve">discuss </w:t>
      </w:r>
      <w:r w:rsidR="00EA7C2F" w:rsidRPr="00EA7C2F">
        <w:rPr>
          <w:lang w:val="en-US" w:eastAsia="zh-CN"/>
        </w:rPr>
        <w:t>general aspects for NR 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2F50F3C" w14:textId="4D9C0A57" w:rsidR="00406055" w:rsidRDefault="00406055" w:rsidP="00406055">
      <w:pPr>
        <w:pStyle w:val="Proposal"/>
        <w:numPr>
          <w:ilvl w:val="0"/>
          <w:numId w:val="18"/>
        </w:numPr>
      </w:pPr>
      <w:r>
        <w:t>W</w:t>
      </w:r>
      <w:r w:rsidRPr="00E74A53">
        <w:t xml:space="preserve">ait RAN1 response to </w:t>
      </w:r>
      <w:r>
        <w:t>the</w:t>
      </w:r>
      <w:r w:rsidRPr="00E74A53">
        <w:t xml:space="preserve"> LS and then discuss how to define the cases with new TDD pattern.</w:t>
      </w:r>
    </w:p>
    <w:p w14:paraId="75298D6C" w14:textId="77777777" w:rsidR="00C25905" w:rsidRDefault="00C25905" w:rsidP="00C25905">
      <w:pPr>
        <w:pStyle w:val="Proposal"/>
        <w:numPr>
          <w:ilvl w:val="0"/>
          <w:numId w:val="18"/>
        </w:numPr>
      </w:pPr>
      <w:r w:rsidRPr="00C25905">
        <w:t>If RAN1 response that “Increasing the number of HARQ processes” and “K1 range extension” issue can be solved by existing NTN solution, define corresponding demodulation requirements with the new TDD pattern and note should be added in the specification that this pattern is for ATG scenario only.</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58DAD65E"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r w:rsidR="000C0DA6" w:rsidRPr="000C0DA6">
        <w:rPr>
          <w:lang w:val="en-US" w:eastAsia="zh-CN"/>
        </w:rPr>
        <w:t>4-230</w:t>
      </w:r>
      <w:r w:rsidR="009715AC">
        <w:rPr>
          <w:lang w:val="en-US" w:eastAsia="zh-CN"/>
        </w:rPr>
        <w:t>9796</w:t>
      </w:r>
      <w:r w:rsidR="00DA5EE2" w:rsidRPr="00DA5EE2">
        <w:rPr>
          <w:lang w:val="en-US" w:eastAsia="zh-CN"/>
        </w:rPr>
        <w:t xml:space="preserve">, </w:t>
      </w:r>
      <w:r w:rsidR="009715AC" w:rsidRPr="009715AC">
        <w:rPr>
          <w:lang w:val="en-US" w:eastAsia="zh-CN"/>
        </w:rPr>
        <w:t>WF for ATG demodulation requirements</w:t>
      </w:r>
      <w:r w:rsidR="00DA5EE2" w:rsidRPr="00DA5EE2">
        <w:rPr>
          <w:lang w:val="en-US" w:eastAsia="zh-CN"/>
        </w:rPr>
        <w:t>, RAN</w:t>
      </w:r>
      <w:r w:rsidR="00661D17">
        <w:rPr>
          <w:lang w:val="en-US" w:eastAsia="zh-CN"/>
        </w:rPr>
        <w:t>4</w:t>
      </w:r>
      <w:r w:rsidR="00DA5EE2" w:rsidRPr="00DA5EE2">
        <w:rPr>
          <w:lang w:val="en-US" w:eastAsia="zh-CN"/>
        </w:rPr>
        <w:t>#</w:t>
      </w:r>
      <w:r w:rsidR="00661D17">
        <w:rPr>
          <w:lang w:val="en-US" w:eastAsia="zh-CN"/>
        </w:rPr>
        <w:t>10</w:t>
      </w:r>
      <w:r w:rsidR="009715AC">
        <w:rPr>
          <w:lang w:val="en-US" w:eastAsia="zh-CN"/>
        </w:rPr>
        <w:t>7</w:t>
      </w:r>
      <w:r w:rsidR="00DA5EE2" w:rsidRPr="00DA5EE2">
        <w:rPr>
          <w:lang w:val="en-US" w:eastAsia="zh-CN"/>
        </w:rPr>
        <w:t xml:space="preserve">, </w:t>
      </w:r>
      <w:r w:rsidR="00646DA1">
        <w:rPr>
          <w:lang w:val="en-US" w:eastAsia="zh-CN"/>
        </w:rPr>
        <w:t>CMCC</w:t>
      </w:r>
      <w:bookmarkEnd w:id="6"/>
    </w:p>
    <w:p w14:paraId="29D6DB70" w14:textId="713E1D48" w:rsidR="001229F1" w:rsidRPr="000C0DA6" w:rsidRDefault="001229F1" w:rsidP="00AC7557">
      <w:pPr>
        <w:rPr>
          <w:lang w:val="en-US" w:eastAsia="zh-CN"/>
        </w:rPr>
      </w:pPr>
    </w:p>
    <w:sectPr w:rsidR="001229F1" w:rsidRPr="000C0DA6"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21CCB" w14:textId="77777777" w:rsidR="00B87BC9" w:rsidRDefault="00B87BC9" w:rsidP="009163A1">
      <w:pPr>
        <w:spacing w:after="0"/>
      </w:pPr>
      <w:r>
        <w:separator/>
      </w:r>
    </w:p>
  </w:endnote>
  <w:endnote w:type="continuationSeparator" w:id="0">
    <w:p w14:paraId="1AF52B88" w14:textId="77777777" w:rsidR="00B87BC9" w:rsidRDefault="00B87BC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7D1EA" w14:textId="77777777" w:rsidR="00B87BC9" w:rsidRDefault="00B87BC9" w:rsidP="009163A1">
      <w:pPr>
        <w:spacing w:after="0"/>
      </w:pPr>
      <w:r>
        <w:separator/>
      </w:r>
    </w:p>
  </w:footnote>
  <w:footnote w:type="continuationSeparator" w:id="0">
    <w:p w14:paraId="4041D914" w14:textId="77777777" w:rsidR="00B87BC9" w:rsidRDefault="00B87BC9"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2"/>
  </w:num>
  <w:num w:numId="4">
    <w:abstractNumId w:val="3"/>
  </w:num>
  <w:num w:numId="5">
    <w:abstractNumId w:val="5"/>
  </w:num>
  <w:num w:numId="6">
    <w:abstractNumId w:val="8"/>
  </w:num>
  <w:num w:numId="7">
    <w:abstractNumId w:val="0"/>
  </w:num>
  <w:num w:numId="8">
    <w:abstractNumId w:val="2"/>
    <w:lvlOverride w:ilvl="0">
      <w:startOverride w:val="1"/>
    </w:lvlOverride>
  </w:num>
  <w:num w:numId="9">
    <w:abstractNumId w:val="3"/>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4"/>
  </w:num>
  <w:num w:numId="16">
    <w:abstractNumId w:val="1"/>
  </w:num>
  <w:num w:numId="17">
    <w:abstractNumId w:val="2"/>
    <w:lvlOverride w:ilvl="0">
      <w:startOverride w:val="1"/>
    </w:lvlOverride>
  </w:num>
  <w:num w:numId="18">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27825"/>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0DA6"/>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271CA"/>
    <w:rsid w:val="00136B1B"/>
    <w:rsid w:val="00140EFB"/>
    <w:rsid w:val="00141027"/>
    <w:rsid w:val="00142697"/>
    <w:rsid w:val="001439A6"/>
    <w:rsid w:val="00154948"/>
    <w:rsid w:val="001555C5"/>
    <w:rsid w:val="0015739F"/>
    <w:rsid w:val="00157D97"/>
    <w:rsid w:val="00167E9A"/>
    <w:rsid w:val="00170674"/>
    <w:rsid w:val="001707CB"/>
    <w:rsid w:val="00171E01"/>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2424"/>
    <w:rsid w:val="001D54C7"/>
    <w:rsid w:val="001E3115"/>
    <w:rsid w:val="001E53A1"/>
    <w:rsid w:val="001E5A0A"/>
    <w:rsid w:val="001F00F8"/>
    <w:rsid w:val="001F0B11"/>
    <w:rsid w:val="001F1A5C"/>
    <w:rsid w:val="001F3FC5"/>
    <w:rsid w:val="001F44AE"/>
    <w:rsid w:val="001F660F"/>
    <w:rsid w:val="00201A9B"/>
    <w:rsid w:val="00204E15"/>
    <w:rsid w:val="002072AE"/>
    <w:rsid w:val="00207AAD"/>
    <w:rsid w:val="00212270"/>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DF7"/>
    <w:rsid w:val="00254E94"/>
    <w:rsid w:val="00256403"/>
    <w:rsid w:val="00256515"/>
    <w:rsid w:val="00262B90"/>
    <w:rsid w:val="0026337D"/>
    <w:rsid w:val="00264A2C"/>
    <w:rsid w:val="00266441"/>
    <w:rsid w:val="0026679C"/>
    <w:rsid w:val="002739ED"/>
    <w:rsid w:val="00274204"/>
    <w:rsid w:val="0027571A"/>
    <w:rsid w:val="0028155C"/>
    <w:rsid w:val="0029153F"/>
    <w:rsid w:val="0029167C"/>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1B5E"/>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06055"/>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2A35"/>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285"/>
    <w:rsid w:val="005A1CBB"/>
    <w:rsid w:val="005A35D3"/>
    <w:rsid w:val="005A51EE"/>
    <w:rsid w:val="005B1A8C"/>
    <w:rsid w:val="005B3B3E"/>
    <w:rsid w:val="005C3579"/>
    <w:rsid w:val="005C4773"/>
    <w:rsid w:val="005C7834"/>
    <w:rsid w:val="005D0C23"/>
    <w:rsid w:val="005D7B80"/>
    <w:rsid w:val="005D7F6A"/>
    <w:rsid w:val="005E0EAC"/>
    <w:rsid w:val="005E6131"/>
    <w:rsid w:val="005F3786"/>
    <w:rsid w:val="005F7A96"/>
    <w:rsid w:val="006012F4"/>
    <w:rsid w:val="006023E3"/>
    <w:rsid w:val="00615D0B"/>
    <w:rsid w:val="00616955"/>
    <w:rsid w:val="00624A59"/>
    <w:rsid w:val="006254EF"/>
    <w:rsid w:val="00626C53"/>
    <w:rsid w:val="00632715"/>
    <w:rsid w:val="0063536C"/>
    <w:rsid w:val="00637807"/>
    <w:rsid w:val="00641A0D"/>
    <w:rsid w:val="00644782"/>
    <w:rsid w:val="00646613"/>
    <w:rsid w:val="00646DA1"/>
    <w:rsid w:val="00650955"/>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92502"/>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C6B07"/>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3249"/>
    <w:rsid w:val="0082437D"/>
    <w:rsid w:val="00825BC9"/>
    <w:rsid w:val="00826757"/>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476E"/>
    <w:rsid w:val="008A732B"/>
    <w:rsid w:val="008A7439"/>
    <w:rsid w:val="008B06F0"/>
    <w:rsid w:val="008B286B"/>
    <w:rsid w:val="008C0BAF"/>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42E2"/>
    <w:rsid w:val="00940C78"/>
    <w:rsid w:val="009466A7"/>
    <w:rsid w:val="009521C3"/>
    <w:rsid w:val="00954768"/>
    <w:rsid w:val="00954EA3"/>
    <w:rsid w:val="0095517A"/>
    <w:rsid w:val="00955313"/>
    <w:rsid w:val="009557F1"/>
    <w:rsid w:val="009614E1"/>
    <w:rsid w:val="00962C79"/>
    <w:rsid w:val="00963048"/>
    <w:rsid w:val="00964D21"/>
    <w:rsid w:val="009715AC"/>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58B6"/>
    <w:rsid w:val="00A4659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87BC9"/>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5905"/>
    <w:rsid w:val="00C26B92"/>
    <w:rsid w:val="00C34D9E"/>
    <w:rsid w:val="00C40747"/>
    <w:rsid w:val="00C415C5"/>
    <w:rsid w:val="00C4297C"/>
    <w:rsid w:val="00C43A6E"/>
    <w:rsid w:val="00C44D88"/>
    <w:rsid w:val="00C51D3D"/>
    <w:rsid w:val="00C55A77"/>
    <w:rsid w:val="00C57746"/>
    <w:rsid w:val="00C6195C"/>
    <w:rsid w:val="00C663FA"/>
    <w:rsid w:val="00C71D5F"/>
    <w:rsid w:val="00C723D2"/>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4A53"/>
    <w:rsid w:val="00E77C55"/>
    <w:rsid w:val="00E77E8A"/>
    <w:rsid w:val="00E8060F"/>
    <w:rsid w:val="00E8187B"/>
    <w:rsid w:val="00E8582B"/>
    <w:rsid w:val="00E879F8"/>
    <w:rsid w:val="00E91177"/>
    <w:rsid w:val="00E95A33"/>
    <w:rsid w:val="00EA7B14"/>
    <w:rsid w:val="00EA7C2F"/>
    <w:rsid w:val="00EB0519"/>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40F3"/>
    <w:rsid w:val="00EF731D"/>
    <w:rsid w:val="00EF78B1"/>
    <w:rsid w:val="00F00DD8"/>
    <w:rsid w:val="00F02CA1"/>
    <w:rsid w:val="00F031CC"/>
    <w:rsid w:val="00F05C59"/>
    <w:rsid w:val="00F11E5B"/>
    <w:rsid w:val="00F126C1"/>
    <w:rsid w:val="00F1293E"/>
    <w:rsid w:val="00F12E3B"/>
    <w:rsid w:val="00F14EA8"/>
    <w:rsid w:val="00F1739F"/>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F8D09-B78D-4B96-9DE9-0806F7D18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1217</TotalTime>
  <Pages>2</Pages>
  <Words>416</Words>
  <Characters>2373</Characters>
  <Application>Microsoft Office Word</Application>
  <DocSecurity>0</DocSecurity>
  <Lines>19</Lines>
  <Paragraphs>5</Paragraphs>
  <ScaleCrop>false</ScaleCrop>
  <Company>Huawei Technologies Co.,Ltd.</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2023-04-10T14:29:00Z</dcterms:created>
  <dcterms:modified xsi:type="dcterms:W3CDTF">2023-08-11T17:31:00Z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(3)IZgu4kp+nNrGlMRdTONf0LE9Gfj/fc+ZJOsVIDaFDt8tTd7G6I9kSPmSFEy9AU7y490eryoA
3SKX2coRtO8Fjta0/wu3gu81hM0NaMJjh2utQoUu1rTqzQKmgtRI2nPsQZ2b1xrytZ1rBTc3
XDRS3TR0kxlfX9hRrYqJPp9NT61mbjoIoe18xEHpN+MbsHtLkP3+SHCBMGxq3xAoibzAom7L
Z99pGEBD+/31e4K91z</vt:lpwstr>
  </property>
  <property fmtid="{D5CDD505-2E9C-101B-9397-08002B2CF9AE}" pid="3" name="_2015_ms_pID_7253431">
    <vt:lpwstr>tsr629yCzPfDvT14fpx4Ej5f/0/fNNUbLh7D0EnMBBOk7PsOGVnyzt
zQ/zkCROcXA3wQS12JUyg6C48p4juh0upbZ5j6hACCfN/Itx3udulU9/P4nnCEOBQk3FIzss
RuKoQdhZLzw0Ab40wmjZuaA9knRMn6EL67R+tVCHwJ0YVaivGKVaVqaRVc1eQ7VdHhVXBW21
B7rCc6xqQoKOVqvcFmcd28iKF43ZP4qT0P/e</vt:lpwstr>
  </property>
  <property fmtid="{D5CDD505-2E9C-101B-9397-08002B2CF9AE}" pid="4" name="_2015_ms_pID_7253432">
    <vt:lpwstr>cCJztUfiYEWhxa+1rHw/I5g=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1691720160</vt:lpwstr>
  </property>
</Properties>
</file>